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8A505" w14:textId="0525EEA0" w:rsidR="00EF4E6A" w:rsidRDefault="00E16753" w:rsidP="00E16753">
      <w:pPr>
        <w:jc w:val="center"/>
        <w:rPr>
          <w:b/>
          <w:bCs/>
          <w:sz w:val="32"/>
          <w:szCs w:val="32"/>
        </w:rPr>
      </w:pPr>
      <w:r w:rsidRPr="00E16753">
        <w:rPr>
          <w:b/>
          <w:bCs/>
          <w:sz w:val="32"/>
          <w:szCs w:val="32"/>
        </w:rPr>
        <w:t>Les Centres du monde</w:t>
      </w:r>
    </w:p>
    <w:p w14:paraId="0962788D" w14:textId="21B76E46" w:rsidR="00E16753" w:rsidRDefault="00E16753" w:rsidP="00E16753">
      <w:pPr>
        <w:rPr>
          <w:b/>
          <w:bCs/>
          <w:sz w:val="32"/>
          <w:szCs w:val="32"/>
        </w:rPr>
      </w:pPr>
    </w:p>
    <w:p w14:paraId="150E3DFC" w14:textId="5E6CBC1F" w:rsidR="00E16753" w:rsidRDefault="00E16753" w:rsidP="00E16753">
      <w:pPr>
        <w:rPr>
          <w:b/>
          <w:bCs/>
          <w:sz w:val="32"/>
          <w:szCs w:val="32"/>
        </w:rPr>
      </w:pPr>
    </w:p>
    <w:p w14:paraId="0C79C75C" w14:textId="2FF3CE4C" w:rsidR="00E16753" w:rsidRDefault="00E16753" w:rsidP="00E16753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 w:rsidRPr="00E16753">
        <w:rPr>
          <w:b/>
          <w:bCs/>
          <w:sz w:val="28"/>
          <w:szCs w:val="28"/>
        </w:rPr>
        <w:t xml:space="preserve">Les Centres du monde, </w:t>
      </w:r>
      <w:r w:rsidR="00171821">
        <w:rPr>
          <w:b/>
          <w:bCs/>
          <w:sz w:val="28"/>
          <w:szCs w:val="28"/>
        </w:rPr>
        <w:t xml:space="preserve">métropoles et </w:t>
      </w:r>
      <w:proofErr w:type="gramStart"/>
      <w:r w:rsidR="00171821">
        <w:rPr>
          <w:b/>
          <w:bCs/>
          <w:sz w:val="28"/>
          <w:szCs w:val="28"/>
        </w:rPr>
        <w:t>hubs</w:t>
      </w:r>
      <w:r w:rsidRPr="00E16753">
        <w:rPr>
          <w:b/>
          <w:bCs/>
          <w:sz w:val="28"/>
          <w:szCs w:val="28"/>
        </w:rPr>
        <w:t>:</w:t>
      </w:r>
      <w:proofErr w:type="gramEnd"/>
    </w:p>
    <w:p w14:paraId="5C828936" w14:textId="718680EA" w:rsidR="00E16753" w:rsidRDefault="00E16753" w:rsidP="00E16753">
      <w:pPr>
        <w:pStyle w:val="Paragraphedeliste"/>
        <w:numPr>
          <w:ilvl w:val="0"/>
          <w:numId w:val="2"/>
        </w:numPr>
        <w:rPr>
          <w:b/>
          <w:bCs/>
          <w:sz w:val="24"/>
          <w:szCs w:val="24"/>
        </w:rPr>
      </w:pPr>
      <w:r w:rsidRPr="00E16753">
        <w:rPr>
          <w:b/>
          <w:bCs/>
          <w:sz w:val="24"/>
          <w:szCs w:val="24"/>
        </w:rPr>
        <w:t>Les grandes métropoles : des villes globales au cœur des échanges mondiaux.</w:t>
      </w:r>
    </w:p>
    <w:p w14:paraId="500C8ED0" w14:textId="469A21B5" w:rsidR="00E16753" w:rsidRDefault="00891167" w:rsidP="00891167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Définition d’une ville globale : mégapole, urbanisme particulier (gratte-ciel, </w:t>
      </w:r>
      <w:proofErr w:type="spellStart"/>
      <w:r>
        <w:rPr>
          <w:sz w:val="24"/>
          <w:szCs w:val="24"/>
        </w:rPr>
        <w:t>urban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sprawl</w:t>
      </w:r>
      <w:proofErr w:type="spellEnd"/>
      <w:r>
        <w:rPr>
          <w:sz w:val="24"/>
          <w:szCs w:val="24"/>
        </w:rPr>
        <w:t>,…</w:t>
      </w:r>
      <w:proofErr w:type="gramEnd"/>
      <w:r>
        <w:rPr>
          <w:sz w:val="24"/>
          <w:szCs w:val="24"/>
        </w:rPr>
        <w:t>),</w:t>
      </w:r>
      <w:r w:rsidR="00D339C6">
        <w:rPr>
          <w:sz w:val="24"/>
          <w:szCs w:val="24"/>
        </w:rPr>
        <w:t xml:space="preserve"> hub,</w:t>
      </w:r>
      <w:r>
        <w:rPr>
          <w:sz w:val="24"/>
          <w:szCs w:val="24"/>
        </w:rPr>
        <w:t xml:space="preserve"> concentration des fonctions de commandement</w:t>
      </w:r>
      <w:r w:rsidR="00D339C6">
        <w:rPr>
          <w:sz w:val="24"/>
          <w:szCs w:val="24"/>
        </w:rPr>
        <w:t xml:space="preserve"> internationaux.</w:t>
      </w:r>
    </w:p>
    <w:p w14:paraId="6E50ADC6" w14:textId="77777777" w:rsidR="00E06234" w:rsidRDefault="00D339C6" w:rsidP="00891167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Revenir sur les fonctions de commandement politiques, économiques et culturelles en donnant des exemples précis ou en développant particulièrement une ville globale</w:t>
      </w:r>
      <w:r w:rsidR="00E06234">
        <w:rPr>
          <w:sz w:val="24"/>
          <w:szCs w:val="24"/>
        </w:rPr>
        <w:t>, avec des exemples urbains</w:t>
      </w:r>
      <w:r>
        <w:rPr>
          <w:sz w:val="24"/>
          <w:szCs w:val="24"/>
        </w:rPr>
        <w:t xml:space="preserve"> (NY par exemple)=</w:t>
      </w:r>
      <w:r w:rsidR="00E06234">
        <w:rPr>
          <w:sz w:val="24"/>
          <w:szCs w:val="24"/>
        </w:rPr>
        <w:t xml:space="preserve"> ville Alpha ++ au classement du </w:t>
      </w:r>
      <w:proofErr w:type="spellStart"/>
      <w:r w:rsidR="00E06234">
        <w:rPr>
          <w:sz w:val="24"/>
          <w:szCs w:val="24"/>
        </w:rPr>
        <w:t>GaWC</w:t>
      </w:r>
      <w:proofErr w:type="spellEnd"/>
      <w:r w:rsidR="00E06234">
        <w:rPr>
          <w:sz w:val="24"/>
          <w:szCs w:val="24"/>
        </w:rPr>
        <w:t>,</w:t>
      </w:r>
      <w:r>
        <w:rPr>
          <w:sz w:val="24"/>
          <w:szCs w:val="24"/>
        </w:rPr>
        <w:t xml:space="preserve"> urbanisme du CBD de Manhattan et siège de l’ONU et des sièges sociaux des FTN, technopoles de la Silicon </w:t>
      </w:r>
      <w:proofErr w:type="spellStart"/>
      <w:r>
        <w:rPr>
          <w:sz w:val="24"/>
          <w:szCs w:val="24"/>
        </w:rPr>
        <w:t>Alley</w:t>
      </w:r>
      <w:proofErr w:type="spellEnd"/>
      <w:r>
        <w:rPr>
          <w:sz w:val="24"/>
          <w:szCs w:val="24"/>
        </w:rPr>
        <w:t xml:space="preserve"> et de Rhodes Island, ports de NY-New Jersey, aéroports (Kennedy, La Guardia,</w:t>
      </w:r>
      <w:r w:rsidR="00E06234">
        <w:rPr>
          <w:sz w:val="24"/>
          <w:szCs w:val="24"/>
        </w:rPr>
        <w:t>…), grandes structures culturelles (statue de la liberté, Broadway) MET, Moma, etc…)</w:t>
      </w:r>
      <w:r>
        <w:rPr>
          <w:sz w:val="24"/>
          <w:szCs w:val="24"/>
        </w:rPr>
        <w:t xml:space="preserve"> </w:t>
      </w:r>
    </w:p>
    <w:p w14:paraId="7CA2B592" w14:textId="77777777" w:rsidR="00E06234" w:rsidRDefault="00E06234" w:rsidP="00E06234">
      <w:pPr>
        <w:rPr>
          <w:sz w:val="24"/>
          <w:szCs w:val="24"/>
        </w:rPr>
      </w:pPr>
    </w:p>
    <w:p w14:paraId="740FD8BF" w14:textId="77777777" w:rsidR="00E06234" w:rsidRPr="00E06234" w:rsidRDefault="00E06234" w:rsidP="00E06234">
      <w:pPr>
        <w:pStyle w:val="Paragraphedeliste"/>
        <w:numPr>
          <w:ilvl w:val="0"/>
          <w:numId w:val="2"/>
        </w:numPr>
        <w:rPr>
          <w:b/>
          <w:bCs/>
          <w:sz w:val="24"/>
          <w:szCs w:val="24"/>
        </w:rPr>
      </w:pPr>
      <w:r w:rsidRPr="00E06234">
        <w:rPr>
          <w:b/>
          <w:bCs/>
          <w:sz w:val="24"/>
          <w:szCs w:val="24"/>
        </w:rPr>
        <w:t>Des lieux de connexion : les centres du monde sont des carrefours :</w:t>
      </w:r>
      <w:r w:rsidR="00D339C6" w:rsidRPr="00E06234">
        <w:rPr>
          <w:b/>
          <w:bCs/>
          <w:sz w:val="24"/>
          <w:szCs w:val="24"/>
        </w:rPr>
        <w:t xml:space="preserve"> </w:t>
      </w:r>
    </w:p>
    <w:p w14:paraId="159FBF07" w14:textId="33241298" w:rsidR="00D339C6" w:rsidRDefault="00E06234" w:rsidP="00E06234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Souligner que les centres du monde sont des hub (redéfinir hub : interconnexion, multimodalité, desserte multiscalaire), en expliquant que le monde s’organise de plus en plus selon un modèle « hub and </w:t>
      </w:r>
      <w:proofErr w:type="spellStart"/>
      <w:r>
        <w:rPr>
          <w:sz w:val="24"/>
          <w:szCs w:val="24"/>
        </w:rPr>
        <w:t>spokes</w:t>
      </w:r>
      <w:proofErr w:type="spellEnd"/>
      <w:r>
        <w:rPr>
          <w:sz w:val="24"/>
          <w:szCs w:val="24"/>
        </w:rPr>
        <w:t> ».</w:t>
      </w:r>
    </w:p>
    <w:p w14:paraId="09EA22BF" w14:textId="508301AA" w:rsidR="00A74884" w:rsidRDefault="00A74884" w:rsidP="00E06234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Développer un exemple particulier de grand hub</w:t>
      </w:r>
      <w:r w:rsidR="0065593D">
        <w:rPr>
          <w:sz w:val="24"/>
          <w:szCs w:val="24"/>
        </w:rPr>
        <w:t>, comme Singapour : extrémité orientale du détroit de Malacca, sur passage stratégique de la grande route mondiale entre range européenne et asiatique. Deuxième port de conteneur mondial après Shanghai, la cité-</w:t>
      </w:r>
      <w:proofErr w:type="spellStart"/>
      <w:r w:rsidR="0065593D">
        <w:rPr>
          <w:sz w:val="24"/>
          <w:szCs w:val="24"/>
        </w:rPr>
        <w:t>Etat</w:t>
      </w:r>
      <w:proofErr w:type="spellEnd"/>
      <w:r w:rsidR="0065593D">
        <w:rPr>
          <w:sz w:val="24"/>
          <w:szCs w:val="24"/>
        </w:rPr>
        <w:t xml:space="preserve"> s’est organisée comme un carrefour de rang mondial en aménageant très tôt et constamment son port afin d’accueillir les plus gros porte-</w:t>
      </w:r>
      <w:proofErr w:type="gramStart"/>
      <w:r w:rsidR="0065593D">
        <w:rPr>
          <w:sz w:val="24"/>
          <w:szCs w:val="24"/>
        </w:rPr>
        <w:t>conteneurs</w:t>
      </w:r>
      <w:r>
        <w:rPr>
          <w:sz w:val="24"/>
          <w:szCs w:val="24"/>
        </w:rPr>
        <w:t xml:space="preserve"> </w:t>
      </w:r>
      <w:r w:rsidR="0065593D">
        <w:rPr>
          <w:sz w:val="24"/>
          <w:szCs w:val="24"/>
        </w:rPr>
        <w:t xml:space="preserve"> (</w:t>
      </w:r>
      <w:proofErr w:type="gramEnd"/>
      <w:r w:rsidR="0065593D">
        <w:rPr>
          <w:sz w:val="24"/>
          <w:szCs w:val="24"/>
        </w:rPr>
        <w:t xml:space="preserve">18.000 EVP aujourd’hui), afin de redistribuer les cargaisons dans des ports plus petits (feeders) dans toute la zone asiatique. Cette stratégie lancée dans les années 70 </w:t>
      </w:r>
      <w:proofErr w:type="gramStart"/>
      <w:r w:rsidR="0065593D">
        <w:rPr>
          <w:sz w:val="24"/>
          <w:szCs w:val="24"/>
        </w:rPr>
        <w:t>( un</w:t>
      </w:r>
      <w:proofErr w:type="gramEnd"/>
      <w:r w:rsidR="0065593D">
        <w:rPr>
          <w:sz w:val="24"/>
          <w:szCs w:val="24"/>
        </w:rPr>
        <w:t xml:space="preserve"> des dragons) a permis d’accompagner le décollage de la zone est asiatique et son modèle externalisé, et a fait de Singapour l’un des pays les plus riches au monde.</w:t>
      </w:r>
    </w:p>
    <w:p w14:paraId="4CE3B83D" w14:textId="3FD9FAB9" w:rsidR="0065593D" w:rsidRDefault="0065593D" w:rsidP="0065593D">
      <w:pPr>
        <w:ind w:left="360"/>
        <w:rPr>
          <w:sz w:val="24"/>
          <w:szCs w:val="24"/>
        </w:rPr>
      </w:pPr>
    </w:p>
    <w:p w14:paraId="28746798" w14:textId="23F82E82" w:rsidR="0065593D" w:rsidRDefault="00351274" w:rsidP="00351274">
      <w:pPr>
        <w:pStyle w:val="Paragraphedeliste"/>
        <w:numPr>
          <w:ilvl w:val="0"/>
          <w:numId w:val="2"/>
        </w:numPr>
        <w:rPr>
          <w:b/>
          <w:bCs/>
          <w:sz w:val="24"/>
          <w:szCs w:val="24"/>
        </w:rPr>
      </w:pPr>
      <w:r w:rsidRPr="00351274">
        <w:rPr>
          <w:b/>
          <w:bCs/>
          <w:sz w:val="24"/>
          <w:szCs w:val="24"/>
        </w:rPr>
        <w:t>Des centres qui forment des corridors transnationaux :</w:t>
      </w:r>
    </w:p>
    <w:p w14:paraId="031CE921" w14:textId="73A69AA7" w:rsidR="00351274" w:rsidRDefault="00E166E6" w:rsidP="00E166E6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E166E6">
        <w:rPr>
          <w:sz w:val="24"/>
          <w:szCs w:val="24"/>
        </w:rPr>
        <w:t>Les centres fonctionnent de façon croissante en réseaux organisés</w:t>
      </w:r>
      <w:r>
        <w:rPr>
          <w:sz w:val="24"/>
          <w:szCs w:val="24"/>
        </w:rPr>
        <w:t xml:space="preserve">, formant des mégalopoles et de vastes façades maritimes : donnez quelques exemples (Mégalopolis, axe rhénan, façades japonaise ou </w:t>
      </w:r>
      <w:proofErr w:type="gramStart"/>
      <w:r>
        <w:rPr>
          <w:sz w:val="24"/>
          <w:szCs w:val="24"/>
        </w:rPr>
        <w:t>chinoises,…</w:t>
      </w:r>
      <w:proofErr w:type="gramEnd"/>
      <w:r>
        <w:rPr>
          <w:sz w:val="24"/>
          <w:szCs w:val="24"/>
        </w:rPr>
        <w:t>).</w:t>
      </w:r>
    </w:p>
    <w:p w14:paraId="0DA751F0" w14:textId="738A734B" w:rsidR="0008401A" w:rsidRDefault="00E166E6" w:rsidP="00E166E6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Développer un exemple particulier, comme la Mégalopolis </w:t>
      </w:r>
      <w:r w:rsidR="00741236">
        <w:rPr>
          <w:sz w:val="24"/>
          <w:szCs w:val="24"/>
        </w:rPr>
        <w:t>(55M d’</w:t>
      </w:r>
      <w:proofErr w:type="spellStart"/>
      <w:r w:rsidR="00741236">
        <w:rPr>
          <w:sz w:val="24"/>
          <w:szCs w:val="24"/>
        </w:rPr>
        <w:t>hts</w:t>
      </w:r>
      <w:proofErr w:type="spellEnd"/>
      <w:proofErr w:type="gramStart"/>
      <w:r w:rsidR="00741236">
        <w:rPr>
          <w:sz w:val="24"/>
          <w:szCs w:val="24"/>
        </w:rPr>
        <w:t>)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Boston</w:t>
      </w:r>
      <w:r w:rsidR="00741236">
        <w:rPr>
          <w:sz w:val="24"/>
          <w:szCs w:val="24"/>
        </w:rPr>
        <w:t xml:space="preserve"> (6M, technopole avec Harvard et le MIT, port))</w:t>
      </w:r>
      <w:r>
        <w:rPr>
          <w:sz w:val="24"/>
          <w:szCs w:val="24"/>
        </w:rPr>
        <w:t xml:space="preserve"> à Richmond, en passant par NY</w:t>
      </w:r>
      <w:r w:rsidR="00741236">
        <w:rPr>
          <w:sz w:val="24"/>
          <w:szCs w:val="24"/>
        </w:rPr>
        <w:t xml:space="preserve"> (22 M, ville globale))</w:t>
      </w:r>
      <w:r>
        <w:rPr>
          <w:sz w:val="24"/>
          <w:szCs w:val="24"/>
        </w:rPr>
        <w:t>, Philadelphie</w:t>
      </w:r>
      <w:r w:rsidR="00741236">
        <w:rPr>
          <w:sz w:val="24"/>
          <w:szCs w:val="24"/>
        </w:rPr>
        <w:t xml:space="preserve"> (7M, port),</w:t>
      </w:r>
      <w:r>
        <w:rPr>
          <w:sz w:val="24"/>
          <w:szCs w:val="24"/>
        </w:rPr>
        <w:t xml:space="preserve"> Washin</w:t>
      </w:r>
      <w:r w:rsidR="00741236">
        <w:rPr>
          <w:sz w:val="24"/>
          <w:szCs w:val="24"/>
        </w:rPr>
        <w:t xml:space="preserve">gton-Baltimore (7M, capitale politique et port de Baltimore)). Insistez sur l’intégration par le réseau urbain et ferré (autoroute </w:t>
      </w:r>
      <w:r w:rsidR="00741236">
        <w:rPr>
          <w:sz w:val="24"/>
          <w:szCs w:val="24"/>
        </w:rPr>
        <w:lastRenderedPageBreak/>
        <w:t>et train grande vitesse ACELA)</w:t>
      </w:r>
      <w:r w:rsidR="0008401A">
        <w:rPr>
          <w:sz w:val="24"/>
          <w:szCs w:val="24"/>
        </w:rPr>
        <w:t xml:space="preserve"> et sur les réseaux qui les relient à la mondialisation (routes et voie ferré vers l’hinterland américain (pont terrestre), aéroports, </w:t>
      </w:r>
      <w:proofErr w:type="gramStart"/>
      <w:r w:rsidR="0008401A">
        <w:rPr>
          <w:sz w:val="24"/>
          <w:szCs w:val="24"/>
        </w:rPr>
        <w:t>ports,..</w:t>
      </w:r>
      <w:proofErr w:type="gramEnd"/>
      <w:r w:rsidR="0008401A">
        <w:rPr>
          <w:sz w:val="24"/>
          <w:szCs w:val="24"/>
        </w:rPr>
        <w:t>)</w:t>
      </w:r>
      <w:r w:rsidR="006F5624">
        <w:rPr>
          <w:sz w:val="24"/>
          <w:szCs w:val="24"/>
        </w:rPr>
        <w:t>.</w:t>
      </w:r>
    </w:p>
    <w:p w14:paraId="21760CB2" w14:textId="77777777" w:rsidR="006F5624" w:rsidRDefault="006F5624" w:rsidP="006F5624">
      <w:pPr>
        <w:pStyle w:val="Paragraphedeliste"/>
        <w:rPr>
          <w:sz w:val="24"/>
          <w:szCs w:val="24"/>
        </w:rPr>
      </w:pPr>
    </w:p>
    <w:p w14:paraId="758F8094" w14:textId="0479D144" w:rsidR="006F5624" w:rsidRPr="006F5624" w:rsidRDefault="006F5624" w:rsidP="006F5624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rFonts w:ascii="Source Sans Pro" w:hAnsi="Source Sans Pro"/>
          <w:b/>
          <w:bCs/>
          <w:color w:val="2E2E2E"/>
          <w:sz w:val="23"/>
          <w:szCs w:val="23"/>
        </w:rPr>
        <w:t>Même si</w:t>
      </w:r>
      <w:r w:rsidRPr="006F5624">
        <w:rPr>
          <w:rFonts w:ascii="Source Sans Pro" w:hAnsi="Source Sans Pro"/>
          <w:b/>
          <w:bCs/>
          <w:color w:val="2E2E2E"/>
          <w:sz w:val="23"/>
          <w:szCs w:val="23"/>
        </w:rPr>
        <w:t xml:space="preserve"> la notion de centre est à nuancer à toutes le échelles :</w:t>
      </w:r>
    </w:p>
    <w:p w14:paraId="1D44AC66" w14:textId="77777777" w:rsidR="006F5624" w:rsidRPr="00151D92" w:rsidRDefault="006F5624" w:rsidP="006F5624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rFonts w:ascii="Source Sans Pro" w:hAnsi="Source Sans Pro"/>
          <w:color w:val="2E2E2E"/>
          <w:sz w:val="23"/>
          <w:szCs w:val="23"/>
        </w:rPr>
        <w:t>On retrouve des périphéries dans les hyper- centres : en réalité seuls quelques quartiers sont des centres de décision de la globalisation : CBD, hub, etc…</w:t>
      </w:r>
    </w:p>
    <w:p w14:paraId="7206D2EF" w14:textId="0163FA6A" w:rsidR="006F5624" w:rsidRPr="006F5624" w:rsidRDefault="006F5624" w:rsidP="006F5624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rFonts w:ascii="Source Sans Pro" w:hAnsi="Source Sans Pro"/>
          <w:color w:val="2E2E2E"/>
          <w:sz w:val="23"/>
          <w:szCs w:val="23"/>
        </w:rPr>
        <w:t xml:space="preserve">Des périphéries dans les centres : donner un exemple comme celle des grandes banlieues françaises (banlieues parisiennes avec grandes barres, périphéries excentrées sans infrastructures de communication, pauvreté et </w:t>
      </w:r>
      <w:proofErr w:type="gramStart"/>
      <w:r>
        <w:rPr>
          <w:rFonts w:ascii="Source Sans Pro" w:hAnsi="Source Sans Pro"/>
          <w:color w:val="2E2E2E"/>
          <w:sz w:val="23"/>
          <w:szCs w:val="23"/>
        </w:rPr>
        <w:t>criminalité,…</w:t>
      </w:r>
      <w:proofErr w:type="gramEnd"/>
      <w:r>
        <w:rPr>
          <w:rFonts w:ascii="Source Sans Pro" w:hAnsi="Source Sans Pro"/>
          <w:color w:val="2E2E2E"/>
          <w:sz w:val="23"/>
          <w:szCs w:val="23"/>
        </w:rPr>
        <w:t>) ou des centres urbains dégradés des grandes villes US ( Harlem et le Bronx à NY= notion de ghettos urbains sur fond de concentration ethnique, même si nouvelle gentrification depuis les années 2000 ).</w:t>
      </w:r>
    </w:p>
    <w:p w14:paraId="5C423069" w14:textId="77777777" w:rsidR="0008401A" w:rsidRDefault="0008401A" w:rsidP="0008401A">
      <w:pPr>
        <w:ind w:left="360"/>
        <w:rPr>
          <w:sz w:val="24"/>
          <w:szCs w:val="24"/>
        </w:rPr>
      </w:pPr>
    </w:p>
    <w:p w14:paraId="5987E1DE" w14:textId="0C8DADEB" w:rsidR="00E166E6" w:rsidRDefault="0008401A" w:rsidP="0008401A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 w:rsidRPr="0008401A">
        <w:rPr>
          <w:b/>
          <w:bCs/>
          <w:sz w:val="28"/>
          <w:szCs w:val="28"/>
        </w:rPr>
        <w:t xml:space="preserve">Vers une remise en cause du modèle traditionnel nord/sud : </w:t>
      </w:r>
    </w:p>
    <w:p w14:paraId="3255CA5E" w14:textId="4096CF22" w:rsidR="0008401A" w:rsidRPr="006F5624" w:rsidRDefault="0008401A" w:rsidP="006F5624">
      <w:pPr>
        <w:pStyle w:val="Paragraphedeliste"/>
        <w:numPr>
          <w:ilvl w:val="0"/>
          <w:numId w:val="7"/>
        </w:numPr>
        <w:rPr>
          <w:b/>
          <w:bCs/>
          <w:sz w:val="24"/>
          <w:szCs w:val="24"/>
        </w:rPr>
      </w:pPr>
      <w:r w:rsidRPr="006F5624">
        <w:rPr>
          <w:b/>
          <w:bCs/>
          <w:sz w:val="24"/>
          <w:szCs w:val="24"/>
        </w:rPr>
        <w:t xml:space="preserve">Les </w:t>
      </w:r>
      <w:proofErr w:type="spellStart"/>
      <w:r w:rsidRPr="006F5624">
        <w:rPr>
          <w:b/>
          <w:bCs/>
          <w:sz w:val="24"/>
          <w:szCs w:val="24"/>
        </w:rPr>
        <w:t>nords</w:t>
      </w:r>
      <w:proofErr w:type="spellEnd"/>
      <w:r w:rsidRPr="006F5624">
        <w:rPr>
          <w:b/>
          <w:bCs/>
          <w:sz w:val="24"/>
          <w:szCs w:val="24"/>
        </w:rPr>
        <w:t>, centres du monde :</w:t>
      </w:r>
    </w:p>
    <w:p w14:paraId="20EFA011" w14:textId="329974AE" w:rsidR="001D596C" w:rsidRDefault="001D596C" w:rsidP="0008401A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Le nord, une domination depuis le 19</w:t>
      </w:r>
      <w:r w:rsidRPr="001D596C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siècle : rappeler les épisodes des révolutions industrielles dans les nord, qui permettent le décollage de l’Europe puis des US et du Japon.</w:t>
      </w:r>
    </w:p>
    <w:p w14:paraId="441E1180" w14:textId="1326F113" w:rsidR="001D596C" w:rsidRDefault="001D596C" w:rsidP="0008401A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Rappelez au 19</w:t>
      </w:r>
      <w:r w:rsidRPr="001D596C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siècle la colonisation qui permet au nord de dominer le sud.</w:t>
      </w:r>
    </w:p>
    <w:p w14:paraId="7A9A751F" w14:textId="4E229D0B" w:rsidR="0008401A" w:rsidRDefault="0008401A" w:rsidP="0008401A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08401A">
        <w:rPr>
          <w:sz w:val="24"/>
          <w:szCs w:val="24"/>
        </w:rPr>
        <w:t>Dans les années</w:t>
      </w:r>
      <w:r>
        <w:rPr>
          <w:sz w:val="24"/>
          <w:szCs w:val="24"/>
        </w:rPr>
        <w:t xml:space="preserve"> 80 centres du monde étaient définis par </w:t>
      </w:r>
      <w:proofErr w:type="spellStart"/>
      <w:r>
        <w:rPr>
          <w:sz w:val="24"/>
          <w:szCs w:val="24"/>
        </w:rPr>
        <w:t>Kenichi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Ohmae</w:t>
      </w:r>
      <w:proofErr w:type="spellEnd"/>
      <w:r>
        <w:rPr>
          <w:sz w:val="24"/>
          <w:szCs w:val="24"/>
        </w:rPr>
        <w:t xml:space="preserve"> (1985) comme la Triade : Amérique du nord, Europe de l’ouest et Japon+ dragons asiatiques.</w:t>
      </w:r>
    </w:p>
    <w:p w14:paraId="20BFC2C9" w14:textId="77777777" w:rsidR="0039754E" w:rsidRDefault="0039754E" w:rsidP="0039754E">
      <w:pPr>
        <w:rPr>
          <w:rFonts w:ascii="Source Sans Pro" w:hAnsi="Source Sans Pro"/>
          <w:color w:val="2E2E2E"/>
          <w:sz w:val="23"/>
          <w:szCs w:val="23"/>
        </w:rPr>
      </w:pPr>
    </w:p>
    <w:p w14:paraId="44A781F1" w14:textId="2DD031D6" w:rsidR="00A464DA" w:rsidRPr="006F5624" w:rsidRDefault="0039754E" w:rsidP="006F5624">
      <w:pPr>
        <w:pStyle w:val="Paragraphedeliste"/>
        <w:numPr>
          <w:ilvl w:val="0"/>
          <w:numId w:val="6"/>
        </w:numPr>
        <w:rPr>
          <w:b/>
          <w:bCs/>
          <w:sz w:val="28"/>
          <w:szCs w:val="28"/>
        </w:rPr>
      </w:pPr>
      <w:r w:rsidRPr="006F5624">
        <w:rPr>
          <w:rFonts w:ascii="Source Sans Pro" w:hAnsi="Source Sans Pro"/>
          <w:b/>
          <w:bCs/>
          <w:color w:val="2E2E2E"/>
          <w:sz w:val="23"/>
          <w:szCs w:val="23"/>
        </w:rPr>
        <w:t>Font désormais face à l’émergence de nouveaux centres :</w:t>
      </w:r>
    </w:p>
    <w:p w14:paraId="24516A86" w14:textId="77777777" w:rsidR="006F5624" w:rsidRPr="001D596C" w:rsidRDefault="006F5624" w:rsidP="006F5624">
      <w:pPr>
        <w:pStyle w:val="Paragraphedeliste"/>
        <w:rPr>
          <w:b/>
          <w:bCs/>
          <w:sz w:val="28"/>
          <w:szCs w:val="28"/>
        </w:rPr>
      </w:pPr>
    </w:p>
    <w:p w14:paraId="1FF668A2" w14:textId="32E22AEF" w:rsidR="00A464DA" w:rsidRPr="006F5624" w:rsidRDefault="001D596C" w:rsidP="006F5624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1D596C">
        <w:rPr>
          <w:sz w:val="24"/>
          <w:szCs w:val="24"/>
        </w:rPr>
        <w:t>La mondialisation a rebattu les cartes du jeu depuis les années 70</w:t>
      </w:r>
      <w:r>
        <w:rPr>
          <w:sz w:val="24"/>
          <w:szCs w:val="24"/>
        </w:rPr>
        <w:t xml:space="preserve"> : elle a permis </w:t>
      </w:r>
      <w:r w:rsidR="006F5624">
        <w:rPr>
          <w:sz w:val="24"/>
          <w:szCs w:val="24"/>
        </w:rPr>
        <w:t>le décollage de pays émergents qui deviennent de nouveaux centres par diverses stratégies permettant l’insertion dans la mondialisation. C’est notamment l</w:t>
      </w:r>
      <w:r w:rsidR="00A464DA" w:rsidRPr="006F5624">
        <w:rPr>
          <w:rFonts w:ascii="Source Sans Pro" w:hAnsi="Source Sans Pro"/>
          <w:color w:val="2E2E2E"/>
          <w:sz w:val="23"/>
          <w:szCs w:val="23"/>
        </w:rPr>
        <w:t xml:space="preserve">’émergence des BRICS depuis les années </w:t>
      </w:r>
      <w:r w:rsidR="006F5624">
        <w:rPr>
          <w:rFonts w:ascii="Source Sans Pro" w:hAnsi="Source Sans Pro"/>
          <w:color w:val="2E2E2E"/>
          <w:sz w:val="23"/>
          <w:szCs w:val="23"/>
        </w:rPr>
        <w:t>9</w:t>
      </w:r>
      <w:r w:rsidR="00A464DA" w:rsidRPr="006F5624">
        <w:rPr>
          <w:rFonts w:ascii="Source Sans Pro" w:hAnsi="Source Sans Pro"/>
          <w:color w:val="2E2E2E"/>
          <w:sz w:val="23"/>
          <w:szCs w:val="23"/>
        </w:rPr>
        <w:t>0 ont mis à mal la domination traditionnelle de la Triade.</w:t>
      </w:r>
    </w:p>
    <w:p w14:paraId="2D8093D7" w14:textId="2328EB76" w:rsidR="00A464DA" w:rsidRPr="00A464DA" w:rsidRDefault="00A464DA" w:rsidP="00A464DA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rFonts w:ascii="Source Sans Pro" w:hAnsi="Source Sans Pro"/>
          <w:color w:val="2E2E2E"/>
          <w:sz w:val="23"/>
          <w:szCs w:val="23"/>
        </w:rPr>
        <w:t>La Chine particulièrement est devenu un nouveau centre de la globalisation : rappelez l’émergence de la Chine depuis les années 80</w:t>
      </w:r>
      <w:r w:rsidR="006F5624">
        <w:rPr>
          <w:rFonts w:ascii="Source Sans Pro" w:hAnsi="Source Sans Pro"/>
          <w:color w:val="2E2E2E"/>
          <w:sz w:val="23"/>
          <w:szCs w:val="23"/>
        </w:rPr>
        <w:t>, son lien avec la mondialisation</w:t>
      </w:r>
      <w:r>
        <w:rPr>
          <w:rFonts w:ascii="Source Sans Pro" w:hAnsi="Source Sans Pro"/>
          <w:color w:val="2E2E2E"/>
          <w:sz w:val="23"/>
          <w:szCs w:val="23"/>
        </w:rPr>
        <w:t xml:space="preserve"> et les chiffres de sa nouvelle puissance : deuxième PIB mondial, atelier du monde qui devient laboratoire du monde, premiers ports au monde, nouvelles mégapoles Alpha + (Shanghai, Pékin, H-</w:t>
      </w:r>
      <w:proofErr w:type="gramStart"/>
      <w:r>
        <w:rPr>
          <w:rFonts w:ascii="Source Sans Pro" w:hAnsi="Source Sans Pro"/>
          <w:color w:val="2E2E2E"/>
          <w:sz w:val="23"/>
          <w:szCs w:val="23"/>
        </w:rPr>
        <w:t>K,..</w:t>
      </w:r>
      <w:proofErr w:type="gramEnd"/>
      <w:r>
        <w:rPr>
          <w:rFonts w:ascii="Source Sans Pro" w:hAnsi="Source Sans Pro"/>
          <w:color w:val="2E2E2E"/>
          <w:sz w:val="23"/>
          <w:szCs w:val="23"/>
        </w:rPr>
        <w:t>), puissance politique et militaire, etc…</w:t>
      </w:r>
    </w:p>
    <w:p w14:paraId="1BADCE38" w14:textId="2900B880" w:rsidR="00151D92" w:rsidRPr="006F5624" w:rsidRDefault="00A464DA" w:rsidP="00A464DA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rFonts w:ascii="Source Sans Pro" w:hAnsi="Source Sans Pro"/>
          <w:color w:val="2E2E2E"/>
          <w:sz w:val="23"/>
          <w:szCs w:val="23"/>
        </w:rPr>
        <w:t xml:space="preserve">Développement de toute la zone du sud-est asiatique à travers le corridor de la grande route maritime mondiale et une interconnexion </w:t>
      </w:r>
      <w:r w:rsidR="00151D92">
        <w:rPr>
          <w:rFonts w:ascii="Source Sans Pro" w:hAnsi="Source Sans Pro"/>
          <w:color w:val="2E2E2E"/>
          <w:sz w:val="23"/>
          <w:szCs w:val="23"/>
        </w:rPr>
        <w:t xml:space="preserve">économique entre les pays dvpés et émergents, selon le modèle de la remontée des filières et un calendrier précis : Japon, 4 dragons, Chine, puis reste du monde du sud-est asiatique (Indonésie, Malaisie, </w:t>
      </w:r>
      <w:proofErr w:type="spellStart"/>
      <w:r w:rsidR="00151D92">
        <w:rPr>
          <w:rFonts w:ascii="Source Sans Pro" w:hAnsi="Source Sans Pro"/>
          <w:color w:val="2E2E2E"/>
          <w:sz w:val="23"/>
          <w:szCs w:val="23"/>
        </w:rPr>
        <w:t>Thailande</w:t>
      </w:r>
      <w:proofErr w:type="spellEnd"/>
      <w:r w:rsidR="00151D92">
        <w:rPr>
          <w:rFonts w:ascii="Source Sans Pro" w:hAnsi="Source Sans Pro"/>
          <w:color w:val="2E2E2E"/>
          <w:sz w:val="23"/>
          <w:szCs w:val="23"/>
        </w:rPr>
        <w:t xml:space="preserve"> puis aujourd’hui Vietnam, Bengladesh, etc…).</w:t>
      </w:r>
      <w:r w:rsidR="006F5624">
        <w:rPr>
          <w:rFonts w:ascii="Source Sans Pro" w:hAnsi="Source Sans Pro"/>
          <w:color w:val="2E2E2E"/>
          <w:sz w:val="23"/>
          <w:szCs w:val="23"/>
        </w:rPr>
        <w:t xml:space="preserve"> </w:t>
      </w:r>
      <w:r>
        <w:rPr>
          <w:rFonts w:ascii="Source Sans Pro" w:hAnsi="Source Sans Pro"/>
          <w:color w:val="2E2E2E"/>
          <w:sz w:val="23"/>
          <w:szCs w:val="23"/>
        </w:rPr>
        <w:t xml:space="preserve">Le centre </w:t>
      </w:r>
      <w:proofErr w:type="gramStart"/>
      <w:r>
        <w:rPr>
          <w:rFonts w:ascii="Source Sans Pro" w:hAnsi="Source Sans Pro"/>
          <w:color w:val="2E2E2E"/>
          <w:sz w:val="23"/>
          <w:szCs w:val="23"/>
        </w:rPr>
        <w:t>du  monde</w:t>
      </w:r>
      <w:proofErr w:type="gramEnd"/>
      <w:r>
        <w:rPr>
          <w:rFonts w:ascii="Source Sans Pro" w:hAnsi="Source Sans Pro"/>
          <w:color w:val="2E2E2E"/>
          <w:sz w:val="23"/>
          <w:szCs w:val="23"/>
        </w:rPr>
        <w:t xml:space="preserve"> bascule progressivement de l’Atlantique à la zone Pacifique</w:t>
      </w:r>
      <w:r w:rsidR="00151D92">
        <w:rPr>
          <w:rFonts w:ascii="Source Sans Pro" w:hAnsi="Source Sans Pro"/>
          <w:color w:val="2E2E2E"/>
          <w:sz w:val="23"/>
          <w:szCs w:val="23"/>
        </w:rPr>
        <w:t>.</w:t>
      </w:r>
    </w:p>
    <w:p w14:paraId="1BB2BF4C" w14:textId="33619450" w:rsidR="006F5624" w:rsidRDefault="006F5624" w:rsidP="006F5624">
      <w:pPr>
        <w:pStyle w:val="Paragraphedeliste"/>
        <w:rPr>
          <w:rFonts w:ascii="Source Sans Pro" w:hAnsi="Source Sans Pro"/>
          <w:color w:val="2E2E2E"/>
          <w:sz w:val="23"/>
          <w:szCs w:val="23"/>
        </w:rPr>
      </w:pPr>
    </w:p>
    <w:p w14:paraId="5D0741A1" w14:textId="63DBF085" w:rsidR="006F5624" w:rsidRPr="006F5624" w:rsidRDefault="006F5624" w:rsidP="006F5624">
      <w:pPr>
        <w:pStyle w:val="Paragraphedeliste"/>
        <w:numPr>
          <w:ilvl w:val="0"/>
          <w:numId w:val="6"/>
        </w:numPr>
        <w:rPr>
          <w:b/>
          <w:bCs/>
          <w:sz w:val="28"/>
          <w:szCs w:val="28"/>
        </w:rPr>
      </w:pPr>
      <w:r w:rsidRPr="006F5624">
        <w:rPr>
          <w:rFonts w:ascii="Source Sans Pro" w:hAnsi="Source Sans Pro"/>
          <w:b/>
          <w:bCs/>
          <w:color w:val="2E2E2E"/>
          <w:sz w:val="23"/>
          <w:szCs w:val="23"/>
        </w:rPr>
        <w:lastRenderedPageBreak/>
        <w:t>Qui gardent les</w:t>
      </w:r>
      <w:r w:rsidRPr="006F5624">
        <w:rPr>
          <w:rFonts w:ascii="Source Sans Pro" w:hAnsi="Source Sans Pro"/>
          <w:b/>
          <w:bCs/>
          <w:color w:val="2E2E2E"/>
          <w:sz w:val="23"/>
          <w:szCs w:val="23"/>
        </w:rPr>
        <w:t xml:space="preserve"> périphéries sous domination :</w:t>
      </w:r>
    </w:p>
    <w:p w14:paraId="7A6D9992" w14:textId="77777777" w:rsidR="006F5624" w:rsidRPr="00370D9E" w:rsidRDefault="006F5624" w:rsidP="006F5624">
      <w:pPr>
        <w:pStyle w:val="Paragraphedeliste"/>
        <w:rPr>
          <w:rFonts w:ascii="Source Sans Pro" w:hAnsi="Source Sans Pro"/>
          <w:b/>
          <w:bCs/>
          <w:color w:val="2E2E2E"/>
          <w:sz w:val="23"/>
          <w:szCs w:val="23"/>
        </w:rPr>
      </w:pPr>
    </w:p>
    <w:p w14:paraId="41838266" w14:textId="550F7D8C" w:rsidR="006F5624" w:rsidRPr="006F5624" w:rsidRDefault="006F5624" w:rsidP="006F5624">
      <w:pPr>
        <w:rPr>
          <w:sz w:val="28"/>
          <w:szCs w:val="28"/>
        </w:rPr>
      </w:pPr>
      <w:r w:rsidRPr="006F5624">
        <w:rPr>
          <w:rFonts w:ascii="Source Sans Pro" w:hAnsi="Source Sans Pro"/>
          <w:color w:val="2E2E2E"/>
          <w:sz w:val="23"/>
          <w:szCs w:val="23"/>
        </w:rPr>
        <w:t xml:space="preserve">Montrez que les PVD et les PMA sont des périphéries sous domination des centres, anciens comme nouveaux : prenez par exemple le Mexique et les Etats-Unis, entre liens économiques (échanges, maquiladoras, </w:t>
      </w:r>
      <w:proofErr w:type="spellStart"/>
      <w:r w:rsidRPr="006F5624">
        <w:rPr>
          <w:rFonts w:ascii="Source Sans Pro" w:hAnsi="Source Sans Pro"/>
          <w:color w:val="2E2E2E"/>
          <w:sz w:val="23"/>
          <w:szCs w:val="23"/>
        </w:rPr>
        <w:t>alena</w:t>
      </w:r>
      <w:proofErr w:type="spellEnd"/>
      <w:r w:rsidRPr="006F5624">
        <w:rPr>
          <w:rFonts w:ascii="Source Sans Pro" w:hAnsi="Source Sans Pro"/>
          <w:color w:val="2E2E2E"/>
          <w:sz w:val="23"/>
          <w:szCs w:val="23"/>
        </w:rPr>
        <w:t>, etc..), influence politique (lutte contre les cartels, etc…)</w:t>
      </w:r>
      <w:r w:rsidRPr="006F5624">
        <w:rPr>
          <w:rFonts w:ascii="Source Sans Pro" w:hAnsi="Source Sans Pro"/>
          <w:color w:val="2E2E2E"/>
          <w:sz w:val="23"/>
          <w:szCs w:val="23"/>
        </w:rPr>
        <w:t>, ou la Françafrique entre influence française, américaine, russe et chinoise.</w:t>
      </w:r>
    </w:p>
    <w:p w14:paraId="48E4BC01" w14:textId="77777777" w:rsidR="00151D92" w:rsidRDefault="00151D92" w:rsidP="00151D92">
      <w:pPr>
        <w:rPr>
          <w:rFonts w:ascii="Source Sans Pro" w:hAnsi="Source Sans Pro"/>
          <w:color w:val="2E2E2E"/>
          <w:sz w:val="23"/>
          <w:szCs w:val="23"/>
        </w:rPr>
      </w:pPr>
    </w:p>
    <w:p w14:paraId="2C23A5BD" w14:textId="77777777" w:rsidR="0091177F" w:rsidRPr="0091177F" w:rsidRDefault="0091177F" w:rsidP="0091177F">
      <w:pPr>
        <w:pStyle w:val="Paragraphedeliste"/>
        <w:rPr>
          <w:sz w:val="28"/>
          <w:szCs w:val="28"/>
        </w:rPr>
      </w:pPr>
    </w:p>
    <w:p w14:paraId="21678684" w14:textId="657594B4" w:rsidR="0091177F" w:rsidRPr="006F5624" w:rsidRDefault="0091177F" w:rsidP="006F5624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 w:rsidRPr="006F5624">
        <w:rPr>
          <w:rFonts w:ascii="Source Sans Pro" w:hAnsi="Source Sans Pro"/>
          <w:b/>
          <w:bCs/>
          <w:color w:val="2E2E2E"/>
          <w:sz w:val="23"/>
          <w:szCs w:val="23"/>
        </w:rPr>
        <w:t>D’un monde concentrique à un monde polycentrique :</w:t>
      </w:r>
    </w:p>
    <w:p w14:paraId="39E72665" w14:textId="0569242E" w:rsidR="00370D9E" w:rsidRPr="00912A92" w:rsidRDefault="00370D9E" w:rsidP="00912A92">
      <w:pPr>
        <w:pStyle w:val="Paragraphedeliste"/>
        <w:numPr>
          <w:ilvl w:val="0"/>
          <w:numId w:val="8"/>
        </w:numPr>
        <w:rPr>
          <w:b/>
          <w:bCs/>
          <w:sz w:val="28"/>
          <w:szCs w:val="28"/>
        </w:rPr>
      </w:pPr>
      <w:r w:rsidRPr="00912A92">
        <w:rPr>
          <w:rFonts w:ascii="Source Sans Pro" w:hAnsi="Source Sans Pro"/>
          <w:b/>
          <w:bCs/>
          <w:color w:val="2E2E2E"/>
          <w:sz w:val="23"/>
          <w:szCs w:val="23"/>
        </w:rPr>
        <w:t xml:space="preserve">L’ex-Triade, </w:t>
      </w:r>
      <w:r w:rsidR="001D596C" w:rsidRPr="00912A92">
        <w:rPr>
          <w:rFonts w:ascii="Source Sans Pro" w:hAnsi="Source Sans Pro"/>
          <w:b/>
          <w:bCs/>
          <w:color w:val="2E2E2E"/>
          <w:sz w:val="23"/>
          <w:szCs w:val="23"/>
        </w:rPr>
        <w:t>toujours au centre</w:t>
      </w:r>
      <w:r w:rsidRPr="00912A92">
        <w:rPr>
          <w:rFonts w:ascii="Source Sans Pro" w:hAnsi="Source Sans Pro"/>
          <w:b/>
          <w:bCs/>
          <w:color w:val="2E2E2E"/>
          <w:sz w:val="23"/>
          <w:szCs w:val="23"/>
        </w:rPr>
        <w:t> :</w:t>
      </w:r>
    </w:p>
    <w:p w14:paraId="39E23B61" w14:textId="77777777" w:rsidR="001D596C" w:rsidRPr="001D596C" w:rsidRDefault="001D596C" w:rsidP="001D596C">
      <w:pPr>
        <w:ind w:left="360"/>
        <w:rPr>
          <w:sz w:val="24"/>
          <w:szCs w:val="24"/>
        </w:rPr>
      </w:pPr>
      <w:r w:rsidRPr="001D596C">
        <w:rPr>
          <w:sz w:val="24"/>
          <w:szCs w:val="24"/>
        </w:rPr>
        <w:t>L’ex-Triade continue à dominer le monde. Rappelez quelques chiffres parmi ceux-ci en vrac :</w:t>
      </w:r>
    </w:p>
    <w:p w14:paraId="370CCE1B" w14:textId="3F30278C" w:rsidR="001D596C" w:rsidRPr="001D596C" w:rsidRDefault="001D596C" w:rsidP="001D596C">
      <w:pPr>
        <w:pStyle w:val="Paragraphedeliste"/>
        <w:numPr>
          <w:ilvl w:val="0"/>
          <w:numId w:val="3"/>
        </w:numPr>
        <w:rPr>
          <w:b/>
          <w:bCs/>
          <w:sz w:val="28"/>
          <w:szCs w:val="28"/>
        </w:rPr>
      </w:pPr>
      <w:r w:rsidRPr="001D596C">
        <w:rPr>
          <w:rFonts w:ascii="Source Sans Pro" w:hAnsi="Source Sans Pro"/>
          <w:color w:val="2E2E2E"/>
          <w:sz w:val="23"/>
          <w:szCs w:val="23"/>
          <w:shd w:val="clear" w:color="auto" w:fill="FFFFFF"/>
        </w:rPr>
        <w:t> Les flux financiers : les 5 premières bourses : New York Stock Exchange, Tokyo, Euronext (Paris, Londres &amp; Bruxelles) Nasdaq, Londres Stock Exchange.</w:t>
      </w:r>
    </w:p>
    <w:p w14:paraId="014BC1CC" w14:textId="4C30B89F" w:rsidR="001D596C" w:rsidRPr="001D596C" w:rsidRDefault="001D596C" w:rsidP="001D596C">
      <w:pPr>
        <w:pStyle w:val="Paragraphedeliste"/>
        <w:numPr>
          <w:ilvl w:val="0"/>
          <w:numId w:val="3"/>
        </w:numPr>
        <w:rPr>
          <w:b/>
          <w:bCs/>
          <w:sz w:val="28"/>
          <w:szCs w:val="28"/>
        </w:rPr>
      </w:pPr>
      <w:r w:rsidRPr="001D596C">
        <w:rPr>
          <w:rFonts w:ascii="Source Sans Pro" w:hAnsi="Source Sans Pro"/>
          <w:color w:val="2E2E2E"/>
          <w:sz w:val="23"/>
          <w:szCs w:val="23"/>
          <w:shd w:val="clear" w:color="auto" w:fill="FFFFFF"/>
        </w:rPr>
        <w:t>La production industrielle : 10 1ères FMN (5 pour les Etats-Unis, 2 britanniques, 1 Allemande, une Japonaise et une Française)</w:t>
      </w:r>
    </w:p>
    <w:p w14:paraId="5256565F" w14:textId="7412CD23" w:rsidR="001D596C" w:rsidRPr="001D596C" w:rsidRDefault="001D596C" w:rsidP="001D596C">
      <w:pPr>
        <w:pStyle w:val="Paragraphedeliste"/>
        <w:numPr>
          <w:ilvl w:val="0"/>
          <w:numId w:val="3"/>
        </w:numPr>
        <w:rPr>
          <w:b/>
          <w:bCs/>
          <w:sz w:val="28"/>
          <w:szCs w:val="28"/>
        </w:rPr>
      </w:pPr>
      <w:r w:rsidRPr="001D596C">
        <w:rPr>
          <w:rFonts w:ascii="Source Sans Pro" w:hAnsi="Source Sans Pro"/>
          <w:color w:val="2E2E2E"/>
          <w:sz w:val="23"/>
          <w:szCs w:val="23"/>
          <w:shd w:val="clear" w:color="auto" w:fill="FFFFFF"/>
        </w:rPr>
        <w:t>4 des 5 premières places pour l’exportation et l’importation de marchandises</w:t>
      </w:r>
    </w:p>
    <w:p w14:paraId="553C5B3F" w14:textId="116F279C" w:rsidR="001D596C" w:rsidRPr="001D596C" w:rsidRDefault="001D596C" w:rsidP="001D596C">
      <w:pPr>
        <w:pStyle w:val="Paragraphedeliste"/>
        <w:numPr>
          <w:ilvl w:val="0"/>
          <w:numId w:val="3"/>
        </w:numPr>
        <w:rPr>
          <w:b/>
          <w:bCs/>
          <w:sz w:val="28"/>
          <w:szCs w:val="28"/>
        </w:rPr>
      </w:pPr>
      <w:r w:rsidRPr="001D596C">
        <w:rPr>
          <w:rFonts w:ascii="Source Sans Pro" w:hAnsi="Source Sans Pro"/>
          <w:color w:val="2E2E2E"/>
          <w:sz w:val="23"/>
          <w:szCs w:val="23"/>
          <w:shd w:val="clear" w:color="auto" w:fill="FFFFFF"/>
        </w:rPr>
        <w:t xml:space="preserve"> Les 5 premières pour l’exportation de services</w:t>
      </w:r>
    </w:p>
    <w:p w14:paraId="078551F0" w14:textId="3B8C73BA" w:rsidR="001D596C" w:rsidRPr="001D596C" w:rsidRDefault="001D596C" w:rsidP="001D596C">
      <w:pPr>
        <w:pStyle w:val="Paragraphedeliste"/>
        <w:numPr>
          <w:ilvl w:val="0"/>
          <w:numId w:val="3"/>
        </w:numPr>
        <w:rPr>
          <w:b/>
          <w:bCs/>
          <w:sz w:val="28"/>
          <w:szCs w:val="28"/>
        </w:rPr>
      </w:pPr>
      <w:r w:rsidRPr="001D596C">
        <w:rPr>
          <w:rFonts w:ascii="Source Sans Pro" w:hAnsi="Source Sans Pro"/>
          <w:color w:val="2E2E2E"/>
          <w:sz w:val="23"/>
          <w:szCs w:val="23"/>
          <w:shd w:val="clear" w:color="auto" w:fill="FFFFFF"/>
        </w:rPr>
        <w:t>Les grandes mégalopoles : Atlantique, européenne, et japonaise : les métropoles Alpha ++ sont concentrées dans l’ex-Triade</w:t>
      </w:r>
    </w:p>
    <w:p w14:paraId="20A513B2" w14:textId="65E43AA5" w:rsidR="001D596C" w:rsidRPr="001D596C" w:rsidRDefault="001D596C" w:rsidP="001D596C">
      <w:pPr>
        <w:pStyle w:val="Paragraphedeliste"/>
        <w:numPr>
          <w:ilvl w:val="0"/>
          <w:numId w:val="3"/>
        </w:numPr>
        <w:rPr>
          <w:b/>
          <w:bCs/>
          <w:sz w:val="28"/>
          <w:szCs w:val="28"/>
        </w:rPr>
      </w:pPr>
      <w:r w:rsidRPr="001D596C">
        <w:rPr>
          <w:rFonts w:ascii="Source Sans Pro" w:hAnsi="Source Sans Pro"/>
          <w:color w:val="2E2E2E"/>
          <w:sz w:val="23"/>
          <w:szCs w:val="23"/>
          <w:shd w:val="clear" w:color="auto" w:fill="FFFFFF"/>
        </w:rPr>
        <w:t xml:space="preserve">Concentration des médias (Reuters, Associate </w:t>
      </w:r>
      <w:proofErr w:type="spellStart"/>
      <w:r w:rsidRPr="001D596C">
        <w:rPr>
          <w:rFonts w:ascii="Source Sans Pro" w:hAnsi="Source Sans Pro"/>
          <w:color w:val="2E2E2E"/>
          <w:sz w:val="23"/>
          <w:szCs w:val="23"/>
          <w:shd w:val="clear" w:color="auto" w:fill="FFFFFF"/>
        </w:rPr>
        <w:t>Press</w:t>
      </w:r>
      <w:proofErr w:type="spellEnd"/>
      <w:r w:rsidRPr="001D596C">
        <w:rPr>
          <w:rFonts w:ascii="Source Sans Pro" w:hAnsi="Source Sans Pro"/>
          <w:color w:val="2E2E2E"/>
          <w:sz w:val="23"/>
          <w:szCs w:val="23"/>
          <w:shd w:val="clear" w:color="auto" w:fill="FFFFFF"/>
        </w:rPr>
        <w:t>, etc.)</w:t>
      </w:r>
    </w:p>
    <w:p w14:paraId="77F14D48" w14:textId="776DACD2" w:rsidR="001D596C" w:rsidRPr="001D596C" w:rsidRDefault="001D596C" w:rsidP="001D596C">
      <w:pPr>
        <w:pStyle w:val="Paragraphedeliste"/>
        <w:numPr>
          <w:ilvl w:val="0"/>
          <w:numId w:val="3"/>
        </w:numPr>
        <w:rPr>
          <w:b/>
          <w:bCs/>
          <w:sz w:val="28"/>
          <w:szCs w:val="28"/>
        </w:rPr>
      </w:pPr>
      <w:r w:rsidRPr="001D596C">
        <w:rPr>
          <w:rFonts w:ascii="Source Sans Pro" w:hAnsi="Source Sans Pro"/>
          <w:color w:val="2E2E2E"/>
          <w:sz w:val="23"/>
          <w:szCs w:val="23"/>
          <w:shd w:val="clear" w:color="auto" w:fill="FFFFFF"/>
        </w:rPr>
        <w:t>Les plus hauts taux d’équipements Internet HD</w:t>
      </w:r>
    </w:p>
    <w:p w14:paraId="7F2EB724" w14:textId="186D9753" w:rsidR="001D596C" w:rsidRPr="001D596C" w:rsidRDefault="001D596C" w:rsidP="001D596C">
      <w:pPr>
        <w:pStyle w:val="Paragraphedeliste"/>
        <w:numPr>
          <w:ilvl w:val="0"/>
          <w:numId w:val="3"/>
        </w:numPr>
        <w:rPr>
          <w:b/>
          <w:bCs/>
          <w:sz w:val="28"/>
          <w:szCs w:val="28"/>
        </w:rPr>
      </w:pPr>
      <w:r w:rsidRPr="001D596C">
        <w:rPr>
          <w:rFonts w:ascii="Source Sans Pro" w:hAnsi="Source Sans Pro"/>
          <w:color w:val="2E2E2E"/>
          <w:sz w:val="23"/>
          <w:szCs w:val="23"/>
          <w:shd w:val="clear" w:color="auto" w:fill="FFFFFF"/>
        </w:rPr>
        <w:t>Monopole sur les satellites d’information et de communication</w:t>
      </w:r>
    </w:p>
    <w:p w14:paraId="3E34E72D" w14:textId="720C21E2" w:rsidR="001D596C" w:rsidRPr="001D596C" w:rsidRDefault="001D596C" w:rsidP="001D596C">
      <w:pPr>
        <w:pStyle w:val="Paragraphedeliste"/>
        <w:numPr>
          <w:ilvl w:val="0"/>
          <w:numId w:val="3"/>
        </w:numPr>
        <w:rPr>
          <w:b/>
          <w:bCs/>
          <w:sz w:val="28"/>
          <w:szCs w:val="28"/>
        </w:rPr>
      </w:pPr>
      <w:r w:rsidRPr="001D596C">
        <w:rPr>
          <w:rFonts w:ascii="Source Sans Pro" w:hAnsi="Source Sans Pro"/>
          <w:color w:val="2E2E2E"/>
          <w:sz w:val="23"/>
          <w:szCs w:val="23"/>
          <w:shd w:val="clear" w:color="auto" w:fill="FFFFFF"/>
        </w:rPr>
        <w:t>L’ONU à New York, l’OMS à Genève, la FAO à Rome et l’UNESCO à Paris, etc.</w:t>
      </w:r>
    </w:p>
    <w:p w14:paraId="677ACE96" w14:textId="2F69A4F8" w:rsidR="00370D9E" w:rsidRPr="00370D9E" w:rsidRDefault="00370D9E" w:rsidP="00370D9E">
      <w:pPr>
        <w:ind w:left="360"/>
        <w:rPr>
          <w:b/>
          <w:bCs/>
          <w:sz w:val="28"/>
          <w:szCs w:val="28"/>
        </w:rPr>
      </w:pPr>
    </w:p>
    <w:p w14:paraId="7C2CC4FE" w14:textId="52A76591" w:rsidR="00370D9E" w:rsidRPr="00912A92" w:rsidRDefault="00370D9E" w:rsidP="00912A92">
      <w:pPr>
        <w:pStyle w:val="Paragraphedeliste"/>
        <w:numPr>
          <w:ilvl w:val="0"/>
          <w:numId w:val="8"/>
        </w:numPr>
        <w:rPr>
          <w:b/>
          <w:bCs/>
          <w:sz w:val="28"/>
          <w:szCs w:val="28"/>
        </w:rPr>
      </w:pPr>
      <w:r w:rsidRPr="00912A92">
        <w:rPr>
          <w:rFonts w:ascii="Source Sans Pro" w:hAnsi="Source Sans Pro"/>
          <w:b/>
          <w:bCs/>
          <w:color w:val="2E2E2E"/>
          <w:sz w:val="23"/>
          <w:szCs w:val="23"/>
        </w:rPr>
        <w:t>Les géants émergents, de nouveaux centres incertains.</w:t>
      </w:r>
    </w:p>
    <w:p w14:paraId="7AF05A44" w14:textId="77777777" w:rsidR="00912A92" w:rsidRPr="00912A92" w:rsidRDefault="00912A92" w:rsidP="00912A92">
      <w:pPr>
        <w:pStyle w:val="Paragraphedeliste"/>
        <w:rPr>
          <w:b/>
          <w:bCs/>
          <w:sz w:val="28"/>
          <w:szCs w:val="28"/>
        </w:rPr>
      </w:pPr>
    </w:p>
    <w:p w14:paraId="4F177492" w14:textId="433E9358" w:rsidR="00912A92" w:rsidRDefault="00912A92" w:rsidP="00912A92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912A92">
        <w:rPr>
          <w:sz w:val="28"/>
          <w:szCs w:val="28"/>
        </w:rPr>
        <w:t>Rappelez les grands géants</w:t>
      </w:r>
      <w:r>
        <w:rPr>
          <w:sz w:val="28"/>
          <w:szCs w:val="28"/>
        </w:rPr>
        <w:t>, leur hiérarchie</w:t>
      </w:r>
      <w:r w:rsidRPr="00912A92">
        <w:rPr>
          <w:sz w:val="28"/>
          <w:szCs w:val="28"/>
        </w:rPr>
        <w:t>, et donnez des chiffres de leur force et de leur fragilité.</w:t>
      </w:r>
    </w:p>
    <w:p w14:paraId="0B1425CC" w14:textId="503C02A7" w:rsidR="00912A92" w:rsidRPr="00912A92" w:rsidRDefault="00912A92" w:rsidP="00912A92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Développer un exemple précis.</w:t>
      </w:r>
    </w:p>
    <w:p w14:paraId="5C8E4CDE" w14:textId="77777777" w:rsidR="00370D9E" w:rsidRPr="00370D9E" w:rsidRDefault="00370D9E" w:rsidP="00370D9E">
      <w:pPr>
        <w:pStyle w:val="Paragraphedeliste"/>
        <w:rPr>
          <w:rFonts w:ascii="Source Sans Pro" w:hAnsi="Source Sans Pro"/>
          <w:b/>
          <w:bCs/>
          <w:color w:val="2E2E2E"/>
          <w:sz w:val="23"/>
          <w:szCs w:val="23"/>
        </w:rPr>
      </w:pPr>
    </w:p>
    <w:p w14:paraId="52E414C3" w14:textId="39D318FC" w:rsidR="0008401A" w:rsidRPr="00370D9E" w:rsidRDefault="0039754E" w:rsidP="00370D9E">
      <w:pPr>
        <w:rPr>
          <w:b/>
          <w:bCs/>
          <w:sz w:val="28"/>
          <w:szCs w:val="28"/>
        </w:rPr>
      </w:pPr>
      <w:r w:rsidRPr="00370D9E">
        <w:rPr>
          <w:rFonts w:ascii="Source Sans Pro" w:hAnsi="Source Sans Pro"/>
          <w:b/>
          <w:bCs/>
          <w:color w:val="2E2E2E"/>
          <w:sz w:val="23"/>
          <w:szCs w:val="23"/>
        </w:rPr>
        <w:br/>
      </w:r>
    </w:p>
    <w:p w14:paraId="1CDED848" w14:textId="2C1BFC87" w:rsidR="0008401A" w:rsidRDefault="0008401A" w:rsidP="0008401A">
      <w:pPr>
        <w:rPr>
          <w:b/>
          <w:bCs/>
          <w:sz w:val="28"/>
          <w:szCs w:val="28"/>
        </w:rPr>
      </w:pPr>
    </w:p>
    <w:p w14:paraId="48B38DA0" w14:textId="77777777" w:rsidR="0008401A" w:rsidRPr="0008401A" w:rsidRDefault="0008401A" w:rsidP="0008401A">
      <w:pPr>
        <w:rPr>
          <w:b/>
          <w:bCs/>
          <w:sz w:val="28"/>
          <w:szCs w:val="28"/>
        </w:rPr>
      </w:pPr>
    </w:p>
    <w:sectPr w:rsidR="0008401A" w:rsidRPr="00084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09E6"/>
    <w:multiLevelType w:val="hybridMultilevel"/>
    <w:tmpl w:val="BA18AAEE"/>
    <w:lvl w:ilvl="0" w:tplc="A7586EB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C3F8E"/>
    <w:multiLevelType w:val="hybridMultilevel"/>
    <w:tmpl w:val="3258D8E6"/>
    <w:lvl w:ilvl="0" w:tplc="BA3C306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23C97"/>
    <w:multiLevelType w:val="hybridMultilevel"/>
    <w:tmpl w:val="7DA8FCD4"/>
    <w:lvl w:ilvl="0" w:tplc="28F83534">
      <w:start w:val="1"/>
      <w:numFmt w:val="upperLetter"/>
      <w:lvlText w:val="%1-"/>
      <w:lvlJc w:val="left"/>
      <w:pPr>
        <w:ind w:left="720" w:hanging="360"/>
      </w:pPr>
      <w:rPr>
        <w:rFonts w:ascii="Source Sans Pro" w:hAnsi="Source Sans Pro" w:hint="default"/>
        <w:color w:val="2E2E2E"/>
        <w:sz w:val="23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D0225"/>
    <w:multiLevelType w:val="hybridMultilevel"/>
    <w:tmpl w:val="11CAEF12"/>
    <w:lvl w:ilvl="0" w:tplc="E03612AE">
      <w:start w:val="2"/>
      <w:numFmt w:val="upperLetter"/>
      <w:lvlText w:val="%1-"/>
      <w:lvlJc w:val="left"/>
      <w:pPr>
        <w:ind w:left="720" w:hanging="360"/>
      </w:pPr>
      <w:rPr>
        <w:rFonts w:ascii="Source Sans Pro" w:hAnsi="Source Sans Pro" w:hint="default"/>
        <w:color w:val="2E2E2E"/>
        <w:sz w:val="2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572BE"/>
    <w:multiLevelType w:val="hybridMultilevel"/>
    <w:tmpl w:val="CA92F3E6"/>
    <w:lvl w:ilvl="0" w:tplc="45F2C9B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1435E"/>
    <w:multiLevelType w:val="hybridMultilevel"/>
    <w:tmpl w:val="81369C52"/>
    <w:lvl w:ilvl="0" w:tplc="AFFCC25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0441A"/>
    <w:multiLevelType w:val="hybridMultilevel"/>
    <w:tmpl w:val="45FC4604"/>
    <w:lvl w:ilvl="0" w:tplc="556477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4242A"/>
    <w:multiLevelType w:val="hybridMultilevel"/>
    <w:tmpl w:val="CA00097A"/>
    <w:lvl w:ilvl="0" w:tplc="557A81F2">
      <w:start w:val="1"/>
      <w:numFmt w:val="upperLetter"/>
      <w:lvlText w:val="%1-"/>
      <w:lvlJc w:val="left"/>
      <w:pPr>
        <w:ind w:left="720" w:hanging="360"/>
      </w:pPr>
      <w:rPr>
        <w:rFonts w:ascii="Source Sans Pro" w:hAnsi="Source Sans Pro" w:hint="default"/>
        <w:color w:val="2E2E2E"/>
        <w:sz w:val="2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839537">
    <w:abstractNumId w:val="0"/>
  </w:num>
  <w:num w:numId="2" w16cid:durableId="1149322882">
    <w:abstractNumId w:val="4"/>
  </w:num>
  <w:num w:numId="3" w16cid:durableId="2112971269">
    <w:abstractNumId w:val="6"/>
  </w:num>
  <w:num w:numId="4" w16cid:durableId="532350851">
    <w:abstractNumId w:val="5"/>
  </w:num>
  <w:num w:numId="5" w16cid:durableId="1133908209">
    <w:abstractNumId w:val="2"/>
  </w:num>
  <w:num w:numId="6" w16cid:durableId="1876849050">
    <w:abstractNumId w:val="3"/>
  </w:num>
  <w:num w:numId="7" w16cid:durableId="1425882561">
    <w:abstractNumId w:val="1"/>
  </w:num>
  <w:num w:numId="8" w16cid:durableId="7290407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E6A"/>
    <w:rsid w:val="0008401A"/>
    <w:rsid w:val="000D08D6"/>
    <w:rsid w:val="00151D92"/>
    <w:rsid w:val="00171821"/>
    <w:rsid w:val="001D596C"/>
    <w:rsid w:val="00351274"/>
    <w:rsid w:val="00370D9E"/>
    <w:rsid w:val="0039754E"/>
    <w:rsid w:val="0065593D"/>
    <w:rsid w:val="006E5332"/>
    <w:rsid w:val="006F5624"/>
    <w:rsid w:val="00741236"/>
    <w:rsid w:val="007F74CA"/>
    <w:rsid w:val="00891167"/>
    <w:rsid w:val="0091177F"/>
    <w:rsid w:val="00912A92"/>
    <w:rsid w:val="00A464DA"/>
    <w:rsid w:val="00A74884"/>
    <w:rsid w:val="00AC6A69"/>
    <w:rsid w:val="00D339C6"/>
    <w:rsid w:val="00E06234"/>
    <w:rsid w:val="00E166E6"/>
    <w:rsid w:val="00E16753"/>
    <w:rsid w:val="00EF4E6A"/>
    <w:rsid w:val="00EF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DD964"/>
  <w15:chartTrackingRefBased/>
  <w15:docId w15:val="{6B40D5C7-D410-46B4-BC86-8C83A293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6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1016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LEVY</dc:creator>
  <cp:keywords/>
  <dc:description/>
  <cp:lastModifiedBy>FABIEN LEVY</cp:lastModifiedBy>
  <cp:revision>12</cp:revision>
  <dcterms:created xsi:type="dcterms:W3CDTF">2022-07-14T08:10:00Z</dcterms:created>
  <dcterms:modified xsi:type="dcterms:W3CDTF">2022-07-14T09:26:00Z</dcterms:modified>
</cp:coreProperties>
</file>